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C62E2" w14:textId="77777777" w:rsidR="00725D78" w:rsidRDefault="00000000">
      <w:pPr>
        <w:pStyle w:val="Heading1"/>
        <w:spacing w:before="80"/>
      </w:pPr>
      <w:r>
        <w:t>IFB 25-001 Vehicle Modification Services</w:t>
      </w:r>
    </w:p>
    <w:p w14:paraId="58DA2150" w14:textId="77777777" w:rsidR="00725D78" w:rsidRDefault="00725D78">
      <w:pPr>
        <w:pStyle w:val="BodyText"/>
        <w:spacing w:before="10"/>
        <w:rPr>
          <w:rFonts w:ascii="Arial"/>
          <w:b/>
          <w:sz w:val="23"/>
        </w:rPr>
      </w:pPr>
    </w:p>
    <w:p w14:paraId="433CD028" w14:textId="77777777" w:rsidR="00725D78" w:rsidRDefault="00000000">
      <w:pPr>
        <w:ind w:left="120"/>
        <w:rPr>
          <w:b/>
          <w:sz w:val="24"/>
        </w:rPr>
      </w:pPr>
      <w:r>
        <w:rPr>
          <w:b/>
          <w:sz w:val="24"/>
        </w:rPr>
        <w:t>Question:</w:t>
      </w:r>
    </w:p>
    <w:p w14:paraId="0F0A7410" w14:textId="77777777" w:rsidR="00725D78" w:rsidRDefault="00000000">
      <w:pPr>
        <w:ind w:left="120"/>
        <w:rPr>
          <w:i/>
          <w:sz w:val="24"/>
        </w:rPr>
      </w:pPr>
      <w:r>
        <w:rPr>
          <w:sz w:val="24"/>
        </w:rPr>
        <w:t xml:space="preserve">Regarding Item 7 on Page 10 of NYSED IFB 25-001, please clarify the following: </w:t>
      </w:r>
      <w:r>
        <w:rPr>
          <w:i/>
          <w:sz w:val="24"/>
        </w:rPr>
        <w:t>“In cases of equipment failure…[a]t no time will the customer be responsible for the cost of any parts, labor, or transport during the warranty period.”</w:t>
      </w:r>
    </w:p>
    <w:p w14:paraId="1F134203" w14:textId="77777777" w:rsidR="00725D78" w:rsidRDefault="00725D78">
      <w:pPr>
        <w:rPr>
          <w:i/>
          <w:sz w:val="24"/>
        </w:rPr>
      </w:pPr>
    </w:p>
    <w:p w14:paraId="40D82968" w14:textId="77777777" w:rsidR="00725D78" w:rsidRDefault="00000000">
      <w:pPr>
        <w:pStyle w:val="ListParagraph"/>
        <w:numPr>
          <w:ilvl w:val="0"/>
          <w:numId w:val="1"/>
        </w:numPr>
        <w:tabs>
          <w:tab w:val="left" w:pos="346"/>
        </w:tabs>
        <w:spacing w:before="1"/>
        <w:ind w:right="449" w:firstLine="0"/>
        <w:rPr>
          <w:sz w:val="24"/>
        </w:rPr>
      </w:pPr>
      <w:r>
        <w:rPr>
          <w:sz w:val="24"/>
        </w:rPr>
        <w:t>Please clarify if (1) a diagnosis of the cause of the failure (including the potential determination of customer misuse, customer abuse, or customer-initiated damages or</w:t>
      </w:r>
      <w:r>
        <w:rPr>
          <w:spacing w:val="-21"/>
          <w:sz w:val="24"/>
        </w:rPr>
        <w:t xml:space="preserve"> </w:t>
      </w:r>
      <w:r>
        <w:rPr>
          <w:sz w:val="24"/>
        </w:rPr>
        <w:t xml:space="preserve">failures) will be conducted and (2) if so, by whom and at whose expense will </w:t>
      </w:r>
      <w:proofErr w:type="gramStart"/>
      <w:r>
        <w:rPr>
          <w:sz w:val="24"/>
        </w:rPr>
        <w:t>said</w:t>
      </w:r>
      <w:proofErr w:type="gramEnd"/>
      <w:r>
        <w:rPr>
          <w:sz w:val="24"/>
        </w:rPr>
        <w:t xml:space="preserve"> diagnosis be conducted?</w:t>
      </w:r>
    </w:p>
    <w:p w14:paraId="3FB95D16" w14:textId="77777777" w:rsidR="00725D78" w:rsidRDefault="00725D78">
      <w:pPr>
        <w:spacing w:before="11"/>
        <w:rPr>
          <w:sz w:val="23"/>
        </w:rPr>
      </w:pPr>
    </w:p>
    <w:p w14:paraId="4534FAD2" w14:textId="77777777" w:rsidR="00725D78" w:rsidRDefault="00000000">
      <w:pPr>
        <w:pStyle w:val="Heading2"/>
      </w:pPr>
      <w:r>
        <w:t>ACCES-VR RESPONSE:</w:t>
      </w:r>
    </w:p>
    <w:p w14:paraId="1C871E5C" w14:textId="77777777" w:rsidR="00725D78" w:rsidRDefault="00000000">
      <w:pPr>
        <w:ind w:left="119" w:right="478"/>
        <w:rPr>
          <w:i/>
          <w:sz w:val="24"/>
        </w:rPr>
      </w:pPr>
      <w:r>
        <w:rPr>
          <w:i/>
          <w:sz w:val="24"/>
        </w:rPr>
        <w:t xml:space="preserve">ACCES-VR </w:t>
      </w:r>
      <w:r>
        <w:rPr>
          <w:i/>
          <w:spacing w:val="-3"/>
          <w:sz w:val="24"/>
        </w:rPr>
        <w:t xml:space="preserve">requires </w:t>
      </w:r>
      <w:r>
        <w:rPr>
          <w:i/>
          <w:sz w:val="24"/>
        </w:rPr>
        <w:t xml:space="preserve">vendors to provide warranties to our customers. </w:t>
      </w:r>
      <w:r>
        <w:rPr>
          <w:i/>
          <w:spacing w:val="-12"/>
          <w:sz w:val="24"/>
        </w:rPr>
        <w:t xml:space="preserve">We </w:t>
      </w:r>
      <w:r>
        <w:rPr>
          <w:i/>
          <w:sz w:val="24"/>
        </w:rPr>
        <w:t xml:space="preserve">expect the vendor to honor the terms and conditions of the warranties provided by the </w:t>
      </w:r>
      <w:r>
        <w:rPr>
          <w:i/>
          <w:spacing w:val="-3"/>
          <w:sz w:val="24"/>
        </w:rPr>
        <w:t xml:space="preserve">manufacturer, </w:t>
      </w:r>
      <w:r>
        <w:rPr>
          <w:i/>
          <w:sz w:val="24"/>
        </w:rPr>
        <w:t>third party retailer and those provided for the equipment the vendor installs, and the work the vendor completes.</w:t>
      </w:r>
    </w:p>
    <w:p w14:paraId="06A4819F" w14:textId="77777777" w:rsidR="00725D78" w:rsidRDefault="00725D78">
      <w:pPr>
        <w:rPr>
          <w:i/>
          <w:sz w:val="24"/>
        </w:rPr>
      </w:pPr>
    </w:p>
    <w:p w14:paraId="700D6E33" w14:textId="77777777" w:rsidR="00725D78" w:rsidRDefault="00000000">
      <w:pPr>
        <w:pStyle w:val="Heading1"/>
        <w:rPr>
          <w:rFonts w:ascii="Times New Roman"/>
        </w:rPr>
      </w:pPr>
      <w:r>
        <w:rPr>
          <w:rFonts w:ascii="Times New Roman"/>
        </w:rPr>
        <w:t>Question:</w:t>
      </w:r>
    </w:p>
    <w:p w14:paraId="4E4998A2" w14:textId="77777777" w:rsidR="00725D78" w:rsidRDefault="00000000">
      <w:pPr>
        <w:pStyle w:val="ListParagraph"/>
        <w:numPr>
          <w:ilvl w:val="0"/>
          <w:numId w:val="1"/>
        </w:numPr>
        <w:tabs>
          <w:tab w:val="left" w:pos="360"/>
        </w:tabs>
        <w:ind w:right="276" w:firstLine="0"/>
        <w:rPr>
          <w:sz w:val="24"/>
        </w:rPr>
      </w:pPr>
      <w:r>
        <w:rPr>
          <w:sz w:val="24"/>
        </w:rPr>
        <w:t>Please clarify if bidders will be responsible for vehicle and/or customer transport in the</w:t>
      </w:r>
      <w:r>
        <w:rPr>
          <w:spacing w:val="-21"/>
          <w:sz w:val="24"/>
        </w:rPr>
        <w:t xml:space="preserve"> </w:t>
      </w:r>
      <w:r>
        <w:rPr>
          <w:sz w:val="24"/>
        </w:rPr>
        <w:t>event the equipment failure can be corrected with routine</w:t>
      </w:r>
      <w:r>
        <w:rPr>
          <w:spacing w:val="-1"/>
          <w:sz w:val="24"/>
        </w:rPr>
        <w:t xml:space="preserve"> </w:t>
      </w:r>
      <w:r>
        <w:rPr>
          <w:sz w:val="24"/>
        </w:rPr>
        <w:t>maintenance.</w:t>
      </w:r>
    </w:p>
    <w:p w14:paraId="78714D4C" w14:textId="77777777" w:rsidR="00725D78" w:rsidRDefault="00725D78">
      <w:pPr>
        <w:rPr>
          <w:sz w:val="24"/>
        </w:rPr>
      </w:pPr>
    </w:p>
    <w:p w14:paraId="2DAF63A2" w14:textId="77777777" w:rsidR="00725D78" w:rsidRDefault="00000000">
      <w:pPr>
        <w:pStyle w:val="Heading2"/>
      </w:pPr>
      <w:r>
        <w:t>ACCES- VR REPONSE:</w:t>
      </w:r>
    </w:p>
    <w:p w14:paraId="3C8DFD9E" w14:textId="77777777" w:rsidR="00725D78" w:rsidRDefault="00000000">
      <w:pPr>
        <w:ind w:left="119" w:right="824"/>
        <w:jc w:val="both"/>
        <w:rPr>
          <w:i/>
          <w:sz w:val="24"/>
        </w:rPr>
      </w:pPr>
      <w:r>
        <w:rPr>
          <w:i/>
          <w:sz w:val="24"/>
        </w:rPr>
        <w:t>ACCES-VR customers understand that after the modification service is completed and the vehicle is released to them, it is their responsibility to maintain their vehicle and adaptive equipment according to manufacturer schedules.</w:t>
      </w:r>
    </w:p>
    <w:p w14:paraId="2E475FFB" w14:textId="77777777" w:rsidR="00725D78" w:rsidRDefault="00000000">
      <w:pPr>
        <w:ind w:left="119" w:right="134"/>
        <w:jc w:val="both"/>
        <w:rPr>
          <w:i/>
          <w:sz w:val="24"/>
        </w:rPr>
      </w:pPr>
      <w:r>
        <w:rPr>
          <w:i/>
          <w:sz w:val="24"/>
        </w:rPr>
        <w:t xml:space="preserve">Transporting a vehicle may be appropriate if the equipment failure is due to </w:t>
      </w:r>
      <w:r>
        <w:rPr>
          <w:i/>
          <w:spacing w:val="-4"/>
          <w:sz w:val="24"/>
        </w:rPr>
        <w:t>vendor’s</w:t>
      </w:r>
      <w:r>
        <w:rPr>
          <w:i/>
          <w:spacing w:val="-39"/>
          <w:sz w:val="24"/>
        </w:rPr>
        <w:t xml:space="preserve"> </w:t>
      </w:r>
      <w:r>
        <w:rPr>
          <w:i/>
          <w:sz w:val="24"/>
        </w:rPr>
        <w:t>negligence, e.g., vendor left a wrench inside of the</w:t>
      </w:r>
      <w:r>
        <w:rPr>
          <w:i/>
          <w:spacing w:val="-2"/>
          <w:sz w:val="24"/>
        </w:rPr>
        <w:t xml:space="preserve"> </w:t>
      </w:r>
      <w:r>
        <w:rPr>
          <w:i/>
          <w:spacing w:val="-5"/>
          <w:sz w:val="24"/>
        </w:rPr>
        <w:t>motor.</w:t>
      </w:r>
    </w:p>
    <w:p w14:paraId="0339E1E6" w14:textId="77777777" w:rsidR="00725D78" w:rsidRDefault="00725D78">
      <w:pPr>
        <w:rPr>
          <w:i/>
          <w:sz w:val="24"/>
        </w:rPr>
      </w:pPr>
    </w:p>
    <w:p w14:paraId="5E9BF37E" w14:textId="77777777" w:rsidR="00725D78" w:rsidRDefault="00000000">
      <w:pPr>
        <w:pStyle w:val="Heading1"/>
        <w:spacing w:before="1"/>
        <w:rPr>
          <w:rFonts w:ascii="Times New Roman"/>
        </w:rPr>
      </w:pPr>
      <w:r>
        <w:rPr>
          <w:rFonts w:ascii="Times New Roman"/>
        </w:rPr>
        <w:t>Question:</w:t>
      </w:r>
    </w:p>
    <w:p w14:paraId="1FD918CC" w14:textId="77777777" w:rsidR="00725D78" w:rsidRDefault="00000000">
      <w:pPr>
        <w:ind w:left="120" w:right="101"/>
        <w:rPr>
          <w:i/>
          <w:sz w:val="24"/>
        </w:rPr>
      </w:pPr>
      <w:r>
        <w:rPr>
          <w:sz w:val="24"/>
        </w:rPr>
        <w:t xml:space="preserve">Regarding Item 7 on Page 10 of NYSED IFB 25-001, please clarify the following: </w:t>
      </w:r>
      <w:r>
        <w:rPr>
          <w:i/>
          <w:sz w:val="24"/>
        </w:rPr>
        <w:t>“In cases of equipment failure, ACCES-VR will work with the Vehicle Modifier to determine if the failure was due to faulty parts of faulty installation.”</w:t>
      </w:r>
    </w:p>
    <w:p w14:paraId="6699036D" w14:textId="77777777" w:rsidR="00725D78" w:rsidRDefault="00725D78">
      <w:pPr>
        <w:spacing w:before="11"/>
        <w:rPr>
          <w:i/>
          <w:sz w:val="23"/>
        </w:rPr>
      </w:pPr>
    </w:p>
    <w:p w14:paraId="17256B14" w14:textId="77777777" w:rsidR="00725D78" w:rsidRDefault="00000000">
      <w:pPr>
        <w:pStyle w:val="ListParagraph"/>
        <w:numPr>
          <w:ilvl w:val="1"/>
          <w:numId w:val="1"/>
        </w:numPr>
        <w:tabs>
          <w:tab w:val="left" w:pos="827"/>
        </w:tabs>
        <w:ind w:right="265" w:hanging="321"/>
        <w:rPr>
          <w:sz w:val="24"/>
        </w:rPr>
      </w:pPr>
      <w:r>
        <w:rPr>
          <w:sz w:val="24"/>
        </w:rPr>
        <w:t>Please clarify why this IFB proposes dedicating ACCES-VR time and other resources</w:t>
      </w:r>
      <w:r>
        <w:rPr>
          <w:spacing w:val="-25"/>
          <w:sz w:val="24"/>
        </w:rPr>
        <w:t xml:space="preserve"> </w:t>
      </w:r>
      <w:r>
        <w:rPr>
          <w:sz w:val="24"/>
        </w:rPr>
        <w:t>to determining if the equipment failure was due to faulty parts or faulty</w:t>
      </w:r>
      <w:r>
        <w:rPr>
          <w:spacing w:val="-9"/>
          <w:sz w:val="24"/>
        </w:rPr>
        <w:t xml:space="preserve"> </w:t>
      </w:r>
      <w:r>
        <w:rPr>
          <w:sz w:val="24"/>
        </w:rPr>
        <w:t>installation.</w:t>
      </w:r>
    </w:p>
    <w:p w14:paraId="1189A91F" w14:textId="77777777" w:rsidR="00725D78" w:rsidRDefault="00725D78">
      <w:pPr>
        <w:rPr>
          <w:sz w:val="24"/>
        </w:rPr>
      </w:pPr>
    </w:p>
    <w:p w14:paraId="6929CF58" w14:textId="77777777" w:rsidR="00725D78" w:rsidRDefault="00000000">
      <w:pPr>
        <w:pStyle w:val="BodyText"/>
        <w:ind w:left="120" w:right="316"/>
      </w:pPr>
      <w:r>
        <w:t>[Vendor]’s position is, given that potential equipment failure would be covered under warranty for a period of one year, that such an exercise would not be best use of ACCES-VR resources.</w:t>
      </w:r>
    </w:p>
    <w:p w14:paraId="04044EF2" w14:textId="77777777" w:rsidR="00725D78" w:rsidRDefault="00725D78">
      <w:pPr>
        <w:rPr>
          <w:sz w:val="24"/>
        </w:rPr>
      </w:pPr>
    </w:p>
    <w:p w14:paraId="34554393" w14:textId="77777777" w:rsidR="00725D78" w:rsidRDefault="00000000">
      <w:pPr>
        <w:pStyle w:val="Heading2"/>
      </w:pPr>
      <w:r>
        <w:t>ACCES- VR REPONSE:</w:t>
      </w:r>
    </w:p>
    <w:p w14:paraId="460E37F1" w14:textId="77777777" w:rsidR="00725D78" w:rsidRDefault="00000000">
      <w:pPr>
        <w:ind w:left="120" w:right="121"/>
        <w:rPr>
          <w:i/>
          <w:sz w:val="24"/>
        </w:rPr>
      </w:pPr>
      <w:r>
        <w:rPr>
          <w:i/>
          <w:sz w:val="24"/>
        </w:rPr>
        <w:t>ACCES-VR agrees that cases of equipment failure are covered under the warranty for one year at a minimum. Vehicle Modifiers will warranty labor for one year at a minimum.</w:t>
      </w:r>
    </w:p>
    <w:p w14:paraId="2A84F4B7" w14:textId="77777777" w:rsidR="00725D78" w:rsidRDefault="00725D78">
      <w:pPr>
        <w:rPr>
          <w:sz w:val="24"/>
        </w:rPr>
        <w:sectPr w:rsidR="00725D78">
          <w:type w:val="continuous"/>
          <w:pgSz w:w="12240" w:h="15840"/>
          <w:pgMar w:top="1360" w:right="1340" w:bottom="280" w:left="1320" w:header="720" w:footer="720" w:gutter="0"/>
          <w:cols w:space="720"/>
        </w:sectPr>
      </w:pPr>
    </w:p>
    <w:p w14:paraId="49ACD3FE" w14:textId="77777777" w:rsidR="00725D78" w:rsidRDefault="00000000">
      <w:pPr>
        <w:pStyle w:val="Heading1"/>
        <w:spacing w:before="79"/>
        <w:rPr>
          <w:rFonts w:ascii="Times New Roman"/>
        </w:rPr>
      </w:pPr>
      <w:r>
        <w:rPr>
          <w:rFonts w:ascii="Times New Roman"/>
        </w:rPr>
        <w:lastRenderedPageBreak/>
        <w:t>Question:</w:t>
      </w:r>
    </w:p>
    <w:p w14:paraId="064D8401" w14:textId="77777777" w:rsidR="00725D78" w:rsidRDefault="00000000">
      <w:pPr>
        <w:pStyle w:val="ListParagraph"/>
        <w:numPr>
          <w:ilvl w:val="1"/>
          <w:numId w:val="1"/>
        </w:numPr>
        <w:tabs>
          <w:tab w:val="left" w:pos="840"/>
        </w:tabs>
        <w:ind w:left="863" w:hanging="384"/>
        <w:rPr>
          <w:sz w:val="24"/>
        </w:rPr>
      </w:pPr>
      <w:r>
        <w:rPr>
          <w:sz w:val="24"/>
        </w:rPr>
        <w:t>Please</w:t>
      </w:r>
      <w:r>
        <w:rPr>
          <w:spacing w:val="-5"/>
          <w:sz w:val="24"/>
        </w:rPr>
        <w:t xml:space="preserve"> </w:t>
      </w:r>
      <w:r>
        <w:rPr>
          <w:sz w:val="24"/>
        </w:rPr>
        <w:t>indicate</w:t>
      </w:r>
      <w:r>
        <w:rPr>
          <w:spacing w:val="-5"/>
          <w:sz w:val="24"/>
        </w:rPr>
        <w:t xml:space="preserve"> </w:t>
      </w:r>
      <w:r>
        <w:rPr>
          <w:sz w:val="24"/>
        </w:rPr>
        <w:t>ACCES-VR’s</w:t>
      </w:r>
      <w:r>
        <w:rPr>
          <w:spacing w:val="-3"/>
          <w:sz w:val="24"/>
        </w:rPr>
        <w:t xml:space="preserve"> </w:t>
      </w:r>
      <w:r>
        <w:rPr>
          <w:sz w:val="24"/>
        </w:rPr>
        <w:t>anticipated</w:t>
      </w:r>
      <w:r>
        <w:rPr>
          <w:spacing w:val="-3"/>
          <w:sz w:val="24"/>
        </w:rPr>
        <w:t xml:space="preserve"> </w:t>
      </w:r>
      <w:r>
        <w:rPr>
          <w:sz w:val="24"/>
        </w:rPr>
        <w:t>timeline</w:t>
      </w:r>
      <w:r>
        <w:rPr>
          <w:spacing w:val="-4"/>
          <w:sz w:val="24"/>
        </w:rPr>
        <w:t xml:space="preserve"> </w:t>
      </w:r>
      <w:r>
        <w:rPr>
          <w:sz w:val="24"/>
        </w:rPr>
        <w:t>for</w:t>
      </w:r>
      <w:r>
        <w:rPr>
          <w:spacing w:val="-4"/>
          <w:sz w:val="24"/>
        </w:rPr>
        <w:t xml:space="preserve"> </w:t>
      </w:r>
      <w:r>
        <w:rPr>
          <w:sz w:val="24"/>
        </w:rPr>
        <w:t>engaging</w:t>
      </w:r>
      <w:r>
        <w:rPr>
          <w:spacing w:val="-4"/>
          <w:sz w:val="24"/>
        </w:rPr>
        <w:t xml:space="preserve"> </w:t>
      </w:r>
      <w:r>
        <w:rPr>
          <w:sz w:val="24"/>
        </w:rPr>
        <w:t>in</w:t>
      </w:r>
      <w:r>
        <w:rPr>
          <w:spacing w:val="-4"/>
          <w:sz w:val="24"/>
        </w:rPr>
        <w:t xml:space="preserve"> </w:t>
      </w:r>
      <w:r>
        <w:rPr>
          <w:sz w:val="24"/>
        </w:rPr>
        <w:t>“work</w:t>
      </w:r>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Vehicle Modifier to determine if the failure was due to faulty parts or faulty</w:t>
      </w:r>
      <w:r>
        <w:rPr>
          <w:spacing w:val="-15"/>
          <w:sz w:val="24"/>
        </w:rPr>
        <w:t xml:space="preserve"> </w:t>
      </w:r>
      <w:r>
        <w:rPr>
          <w:sz w:val="24"/>
        </w:rPr>
        <w:t>installation.”</w:t>
      </w:r>
    </w:p>
    <w:p w14:paraId="66CDCDD6" w14:textId="77777777" w:rsidR="00725D78" w:rsidRDefault="00725D78">
      <w:pPr>
        <w:rPr>
          <w:sz w:val="26"/>
        </w:rPr>
      </w:pPr>
    </w:p>
    <w:p w14:paraId="005E82C8" w14:textId="77777777" w:rsidR="00725D78" w:rsidRDefault="00725D78"/>
    <w:p w14:paraId="44CBE5AF" w14:textId="77777777" w:rsidR="00725D78" w:rsidRDefault="00000000">
      <w:pPr>
        <w:pStyle w:val="Heading2"/>
      </w:pPr>
      <w:r>
        <w:t>ACCES- VR REPONSE:</w:t>
      </w:r>
    </w:p>
    <w:p w14:paraId="5D3738CD" w14:textId="77777777" w:rsidR="00725D78" w:rsidRDefault="00000000">
      <w:pPr>
        <w:ind w:left="120"/>
        <w:rPr>
          <w:i/>
          <w:sz w:val="24"/>
        </w:rPr>
      </w:pPr>
      <w:r>
        <w:rPr>
          <w:i/>
          <w:sz w:val="24"/>
        </w:rPr>
        <w:t>ACCES-VR anticipates vendors will implement their standard business and operating procedure and address issues quickly/timely.</w:t>
      </w:r>
    </w:p>
    <w:sectPr w:rsidR="00725D78">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93146"/>
    <w:multiLevelType w:val="hybridMultilevel"/>
    <w:tmpl w:val="1A1AB5A6"/>
    <w:lvl w:ilvl="0" w:tplc="378A2588">
      <w:start w:val="1"/>
      <w:numFmt w:val="lowerLetter"/>
      <w:lvlText w:val="%1."/>
      <w:lvlJc w:val="left"/>
      <w:pPr>
        <w:ind w:left="120" w:hanging="226"/>
        <w:jc w:val="left"/>
      </w:pPr>
      <w:rPr>
        <w:rFonts w:ascii="Times New Roman" w:eastAsia="Times New Roman" w:hAnsi="Times New Roman" w:cs="Times New Roman" w:hint="default"/>
        <w:spacing w:val="-1"/>
        <w:w w:val="100"/>
        <w:sz w:val="24"/>
        <w:szCs w:val="24"/>
        <w:lang w:val="en-US" w:eastAsia="en-US" w:bidi="en-US"/>
      </w:rPr>
    </w:lvl>
    <w:lvl w:ilvl="1" w:tplc="1E4EE88E">
      <w:start w:val="1"/>
      <w:numFmt w:val="lowerLetter"/>
      <w:lvlText w:val="%2."/>
      <w:lvlJc w:val="left"/>
      <w:pPr>
        <w:ind w:left="800" w:hanging="347"/>
        <w:jc w:val="left"/>
      </w:pPr>
      <w:rPr>
        <w:rFonts w:ascii="Times New Roman" w:eastAsia="Times New Roman" w:hAnsi="Times New Roman" w:cs="Times New Roman" w:hint="default"/>
        <w:spacing w:val="-3"/>
        <w:w w:val="100"/>
        <w:sz w:val="24"/>
        <w:szCs w:val="24"/>
        <w:lang w:val="en-US" w:eastAsia="en-US" w:bidi="en-US"/>
      </w:rPr>
    </w:lvl>
    <w:lvl w:ilvl="2" w:tplc="51F23B70">
      <w:numFmt w:val="bullet"/>
      <w:lvlText w:val="•"/>
      <w:lvlJc w:val="left"/>
      <w:pPr>
        <w:ind w:left="1775" w:hanging="347"/>
      </w:pPr>
      <w:rPr>
        <w:rFonts w:hint="default"/>
        <w:lang w:val="en-US" w:eastAsia="en-US" w:bidi="en-US"/>
      </w:rPr>
    </w:lvl>
    <w:lvl w:ilvl="3" w:tplc="BDFAD89A">
      <w:numFmt w:val="bullet"/>
      <w:lvlText w:val="•"/>
      <w:lvlJc w:val="left"/>
      <w:pPr>
        <w:ind w:left="2751" w:hanging="347"/>
      </w:pPr>
      <w:rPr>
        <w:rFonts w:hint="default"/>
        <w:lang w:val="en-US" w:eastAsia="en-US" w:bidi="en-US"/>
      </w:rPr>
    </w:lvl>
    <w:lvl w:ilvl="4" w:tplc="43185E4C">
      <w:numFmt w:val="bullet"/>
      <w:lvlText w:val="•"/>
      <w:lvlJc w:val="left"/>
      <w:pPr>
        <w:ind w:left="3726" w:hanging="347"/>
      </w:pPr>
      <w:rPr>
        <w:rFonts w:hint="default"/>
        <w:lang w:val="en-US" w:eastAsia="en-US" w:bidi="en-US"/>
      </w:rPr>
    </w:lvl>
    <w:lvl w:ilvl="5" w:tplc="F774D0F4">
      <w:numFmt w:val="bullet"/>
      <w:lvlText w:val="•"/>
      <w:lvlJc w:val="left"/>
      <w:pPr>
        <w:ind w:left="4702" w:hanging="347"/>
      </w:pPr>
      <w:rPr>
        <w:rFonts w:hint="default"/>
        <w:lang w:val="en-US" w:eastAsia="en-US" w:bidi="en-US"/>
      </w:rPr>
    </w:lvl>
    <w:lvl w:ilvl="6" w:tplc="9E56E026">
      <w:numFmt w:val="bullet"/>
      <w:lvlText w:val="•"/>
      <w:lvlJc w:val="left"/>
      <w:pPr>
        <w:ind w:left="5677" w:hanging="347"/>
      </w:pPr>
      <w:rPr>
        <w:rFonts w:hint="default"/>
        <w:lang w:val="en-US" w:eastAsia="en-US" w:bidi="en-US"/>
      </w:rPr>
    </w:lvl>
    <w:lvl w:ilvl="7" w:tplc="A134D7D4">
      <w:numFmt w:val="bullet"/>
      <w:lvlText w:val="•"/>
      <w:lvlJc w:val="left"/>
      <w:pPr>
        <w:ind w:left="6653" w:hanging="347"/>
      </w:pPr>
      <w:rPr>
        <w:rFonts w:hint="default"/>
        <w:lang w:val="en-US" w:eastAsia="en-US" w:bidi="en-US"/>
      </w:rPr>
    </w:lvl>
    <w:lvl w:ilvl="8" w:tplc="603418B2">
      <w:numFmt w:val="bullet"/>
      <w:lvlText w:val="•"/>
      <w:lvlJc w:val="left"/>
      <w:pPr>
        <w:ind w:left="7628" w:hanging="347"/>
      </w:pPr>
      <w:rPr>
        <w:rFonts w:hint="default"/>
        <w:lang w:val="en-US" w:eastAsia="en-US" w:bidi="en-US"/>
      </w:rPr>
    </w:lvl>
  </w:abstractNum>
  <w:num w:numId="1" w16cid:durableId="19589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ZXTeMxu/Fi6VXyCd6q/ZeoSXIFZpKviapRyQFn7TIGZlkAm3w0xm9V0L0PVFkrdT1IRHB3Ii+ryxl/UPzCuLDw==" w:salt="HRGmdcEqUMhMjfS7Dz/0OQ=="/>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725D78"/>
    <w:rsid w:val="00725D78"/>
    <w:rsid w:val="00BC3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5038"/>
  <w15:docId w15:val="{A1B92F73-34E0-471A-AAF7-2647A48B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rFonts w:ascii="Arial" w:eastAsia="Arial" w:hAnsi="Arial" w:cs="Arial"/>
      <w:b/>
      <w:bCs/>
      <w:sz w:val="24"/>
      <w:szCs w:val="24"/>
    </w:rPr>
  </w:style>
  <w:style w:type="paragraph" w:styleId="Heading2">
    <w:name w:val="heading 2"/>
    <w:basedOn w:val="Normal"/>
    <w:uiPriority w:val="9"/>
    <w:unhideWhenUsed/>
    <w:qFormat/>
    <w:pPr>
      <w:ind w:left="12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1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2178</Characters>
  <Application>Microsoft Office Word</Application>
  <DocSecurity>0</DocSecurity>
  <Lines>18</Lines>
  <Paragraphs>5</Paragraphs>
  <ScaleCrop>false</ScaleCrop>
  <Company>New York State Education Department</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Modifier Q&amp;A</dc:title>
  <cp:lastModifiedBy>Hanna Scarpetta</cp:lastModifiedBy>
  <cp:revision>2</cp:revision>
  <dcterms:created xsi:type="dcterms:W3CDTF">2024-08-12T21:10:00Z</dcterms:created>
  <dcterms:modified xsi:type="dcterms:W3CDTF">2024-08-12T21:11:00Z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Acrobat PDFMaker 20 for Word</vt:lpwstr>
  </property>
  <property fmtid="{D5CDD505-2E9C-101B-9397-08002B2CF9AE}" pid="4" name="LastSaved">
    <vt:filetime>2024-08-12T00:00:00Z</vt:filetime>
  </property>
</Properties>
</file>